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VII/4 vom 6. Dezember 2022</w:t>
      </w:r>
    </w:p>
    <w:p>
      <w:r>
        <w:t>Bundesverwaltungsgericht, 2022-12-06, IT</w:t>
      </w:r>
    </w:p>
    <w:p>
      <w:r>
        <w:rPr>
          <w:b/>
        </w:rPr>
        <w:t xml:space="preserve">Quelle: </w:t>
      </w:r>
      <w:r>
        <w:t>https://mcp.opencaselaw.ch/entscheid/bvger_BVGE 2022 VII_4</w:t>
      </w:r>
    </w:p>
    <w:p>
      <w:r>
        <w:t>FR: TAF BVGE 2022 VII/4 du 6 décembre 2022</w:t>
      </w:r>
    </w:p>
    <w:p>
      <w:r>
        <w:t>IT: TAF BVGE 2022 VII/4 del 6 dicembre 2022</w:t>
      </w:r>
    </w:p>
    <w:p>
      <w:pPr>
        <w:pStyle w:val="Heading2"/>
      </w:pPr>
      <w:r>
        <w:t>Regeste</w:t>
      </w:r>
    </w:p>
    <w:p>
      <w:r>
        <w:t>Divieto d'entrata</w:t>
      </w:r>
    </w:p>
    <w:p>
      <w:pPr>
        <w:pStyle w:val="Heading2"/>
      </w:pPr>
      <w:r>
        <w:t>Erwägungen</w:t>
      </w:r>
    </w:p>
    <w:p>
      <w:r>
        <w:rPr>
          <w:b/>
        </w:rPr>
        <w:t>E. 1</w:t>
      </w:r>
    </w:p>
    <w:p>
      <w:r>
        <w:t>Im Unterschied zur automatischen obligatorischen Landesverweisung von zwanzig Jahren setzt ein Einreiseverbot von mehr als fünfzehn und bis zu zwanzig Jahren nicht voraus, dass gegen den Betroffenen bereits ein Einreiseverbot verhängt worden ist (E. 9.4 und 9.5).</w:t>
      </w:r>
    </w:p>
    <w:p>
      <w:r>
        <w:rPr>
          <w:b/>
        </w:rPr>
        <w:t>E. 2</w:t>
      </w:r>
    </w:p>
    <w:p>
      <w:r>
        <w:t>Für ein Einreiseverbot von mehr als fünfzehn und bis zu zwanzig Jahren müssen ausserordentliche Umstände vorliegen (E. 9.5 und 12.1).</w:t>
      </w:r>
    </w:p>
    <w:p>
      <w:r>
        <w:rPr>
          <w:b/>
        </w:rPr>
        <w:t>E. 3</w:t>
      </w:r>
    </w:p>
    <w:p>
      <w:r>
        <w:t>Rückfälligkeit und wiederholte Straffälligkeit können bei Vorliegen ausserordentlicher Umstände ein Einreiseverbot von mehr als fünfzehn und bis zu zwanzig Jahren rechtfertigen (E. 12.1).</w:t>
      </w:r>
    </w:p>
    <w:p>
      <w:r>
        <w:rPr>
          <w:b/>
        </w:rPr>
        <w:t>E. 4</w:t>
      </w:r>
    </w:p>
    <w:p>
      <w:r>
        <w:t>Das Fehlen von Rückfälligkeit oder wiederholter Straffälligkeit schliesst es nicht aus, bei Vorliegen ausserordentlicher Umstände ein Einreiseverbot von fünfzehn bis zwanzig Jahren zu verhängen (E. 12.1).</w:t>
      </w:r>
    </w:p>
    <w:p>
      <w:r>
        <w:rPr>
          <w:b/>
        </w:rPr>
        <w:t>E. 5</w:t>
      </w:r>
    </w:p>
    <w:p>
      <w:r>
        <w:t>Im Unterschied zur automatischen obligatorischen Landesverweisung von zwanzig Jahren darf die Dauer eines Einreiseverbots von mehr als fünfzehn und bis zu zwanzig Jahren nur in Anwendung des Verhältnismässigkeitsprinzips festgesetzt werden (E. 9.4 und 12.1).</w:t>
      </w:r>
    </w:p>
    <w:p>
      <w:r>
        <w:t>Eidgenossenschaft Bundesverwaltungsgericht Conféderation Bundesverwaltungsgericht Confederazione Bundesverwaltungsgericht Abteilung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